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page" w:horzAnchor="margin" w:tblpY="1441"/>
        <w:tblW w:w="10338" w:type="dxa"/>
        <w:tblBorders>
          <w:top w:val="single" w:color="522A5B" w:sz="12" w:space="0"/>
          <w:left w:val="single" w:color="522A5B" w:sz="12" w:space="0"/>
          <w:bottom w:val="single" w:color="522A5B" w:sz="12" w:space="0"/>
          <w:right w:val="single" w:color="522A5B" w:sz="12" w:space="0"/>
          <w:insideH w:val="single" w:color="522A5B" w:sz="12" w:space="0"/>
          <w:insideV w:val="single" w:color="522A5B" w:sz="12" w:space="0"/>
        </w:tblBorders>
        <w:shd w:val="clear" w:color="auto" w:fill="FFEFFF"/>
        <w:tblLook w:val="0000" w:firstRow="0" w:lastRow="0" w:firstColumn="0" w:lastColumn="0" w:noHBand="0" w:noVBand="0"/>
      </w:tblPr>
      <w:tblGrid>
        <w:gridCol w:w="2684"/>
        <w:gridCol w:w="5386"/>
        <w:gridCol w:w="2268"/>
      </w:tblGrid>
      <w:tr w:rsidRPr="00F9765D" w:rsidR="00A23F48" w:rsidTr="182E0F05" w14:paraId="30920A1D" w14:textId="77777777">
        <w:trPr>
          <w:trHeight w:val="3428"/>
        </w:trPr>
        <w:tc>
          <w:tcPr>
            <w:tcW w:w="2684" w:type="dxa"/>
            <w:shd w:val="clear" w:color="auto" w:fill="FFEFFF"/>
            <w:tcMar/>
          </w:tcPr>
          <w:p w:rsidRPr="00F9765D" w:rsidR="008E39B4" w:rsidP="0007415F" w:rsidRDefault="008E39B4" w14:paraId="78D908C9" w14:textId="363D5039">
            <w:pPr>
              <w:rPr>
                <w:rFonts w:cstheme="minorHAnsi"/>
                <w:b/>
                <w:bCs/>
                <w:color w:val="522A5B"/>
                <w:sz w:val="24"/>
                <w:szCs w:val="24"/>
                <w:u w:val="single"/>
              </w:rPr>
            </w:pPr>
            <w:r w:rsidRPr="00F9765D">
              <w:rPr>
                <w:rFonts w:cstheme="minorHAnsi"/>
                <w:b/>
                <w:bCs/>
                <w:color w:val="522A5B"/>
                <w:sz w:val="24"/>
                <w:szCs w:val="24"/>
                <w:u w:val="single"/>
              </w:rPr>
              <w:t>What will we be learning?</w:t>
            </w:r>
          </w:p>
          <w:p w:rsidRPr="003755B6" w:rsidR="00235BD4" w:rsidP="209BDB0F" w:rsidRDefault="006A4FDE" w14:paraId="3F1A7DF8" w14:textId="70CD1A97">
            <w:r w:rsidRPr="006A4FDE">
              <w:rPr>
                <w:b/>
                <w:bCs/>
              </w:rPr>
              <w:t>Number</w:t>
            </w:r>
            <w:r>
              <w:t xml:space="preserve">: </w:t>
            </w:r>
            <w:r>
              <w:t>Understanding multiplicative relationships: percentages and proportionality</w:t>
            </w:r>
          </w:p>
          <w:p w:rsidRPr="00811F13" w:rsidR="008E39B4" w:rsidP="209BDB0F" w:rsidRDefault="006A4FDE" w14:paraId="757809B9" w14:textId="5FDCC9F0">
            <w:pPr>
              <w:rPr>
                <w:color w:val="000000" w:themeColor="text1"/>
                <w:sz w:val="20"/>
                <w:szCs w:val="20"/>
              </w:rPr>
            </w:pPr>
            <w:r w:rsidRPr="006A4FDE">
              <w:rPr>
                <w:b/>
                <w:bCs/>
              </w:rPr>
              <w:t>Data</w:t>
            </w:r>
            <w:r>
              <w:t xml:space="preserve">: </w:t>
            </w:r>
            <w:r>
              <w:t>Statistical representations, measures and analysis</w:t>
            </w:r>
          </w:p>
        </w:tc>
        <w:tc>
          <w:tcPr>
            <w:tcW w:w="5386" w:type="dxa"/>
            <w:shd w:val="clear" w:color="auto" w:fill="FFEFFF"/>
            <w:tcMar/>
          </w:tcPr>
          <w:p w:rsidR="00235BD4" w:rsidP="00FE54CF" w:rsidRDefault="008E39B4" w14:paraId="55F77E3A" w14:textId="77777777">
            <w:pPr>
              <w:rPr>
                <w:rFonts w:cstheme="minorHAnsi"/>
                <w:b/>
                <w:bCs/>
                <w:color w:val="522A5B"/>
                <w:sz w:val="24"/>
                <w:szCs w:val="24"/>
                <w:u w:val="single"/>
              </w:rPr>
            </w:pPr>
            <w:r w:rsidRPr="182E0F05" w:rsidR="008E39B4">
              <w:rPr>
                <w:rFonts w:cs="Calibri" w:cstheme="minorAscii"/>
                <w:b w:val="1"/>
                <w:bCs w:val="1"/>
                <w:color w:val="522A5B"/>
                <w:sz w:val="24"/>
                <w:szCs w:val="24"/>
                <w:u w:val="single"/>
              </w:rPr>
              <w:t>Why this? Why now?</w:t>
            </w:r>
          </w:p>
          <w:p w:rsidR="00235BD4" w:rsidP="003755B6" w:rsidRDefault="00235BD4" w14:paraId="0F41AB10" w14:textId="6AEB3849">
            <w:r w:rsidR="182E0F05">
              <w:rPr/>
              <w:t xml:space="preserve">Proportional (multiplicative) reasoning underpins many </w:t>
            </w:r>
            <w:proofErr w:type="gramStart"/>
            <w:r w:rsidR="182E0F05">
              <w:rPr/>
              <w:t>aspect</w:t>
            </w:r>
            <w:proofErr w:type="gramEnd"/>
            <w:r w:rsidR="182E0F05">
              <w:rPr/>
              <w:t xml:space="preserve"> of mathematics and looking deeper at these types of relationship support </w:t>
            </w:r>
            <w:r w:rsidR="00235BD4">
              <w:rPr/>
              <w:t>developing a more sophisticated view of multiplication (</w:t>
            </w:r>
            <w:proofErr w:type="gramStart"/>
            <w:r w:rsidR="00235BD4">
              <w:rPr/>
              <w:t>i.e.</w:t>
            </w:r>
            <w:proofErr w:type="gramEnd"/>
            <w:r w:rsidR="00235BD4">
              <w:rPr/>
              <w:t xml:space="preserve"> scaling, which they will have been introduced to in Key Stage 2). </w:t>
            </w:r>
          </w:p>
          <w:p w:rsidR="182E0F05" w:rsidP="182E0F05" w:rsidRDefault="182E0F05" w14:paraId="416D5747" w14:textId="30FFC7F5">
            <w:pPr>
              <w:pStyle w:val="Normal"/>
            </w:pPr>
          </w:p>
          <w:p w:rsidRPr="00235BD4" w:rsidR="00235BD4" w:rsidP="182E0F05" w:rsidRDefault="00235BD4" w14:paraId="4C75361B" w14:textId="33F5D1AD">
            <w:pPr>
              <w:rPr>
                <w:rFonts w:cs="Calibri" w:cstheme="minorAscii"/>
                <w:sz w:val="24"/>
                <w:szCs w:val="24"/>
              </w:rPr>
            </w:pPr>
            <w:r w:rsidR="00235BD4">
              <w:rPr/>
              <w:t xml:space="preserve">Having a sound understanding of how to read, measure and analyse statistics is a fundamental skill to take with you into everyday life as well as being a key employability skill. </w:t>
            </w:r>
          </w:p>
        </w:tc>
        <w:tc>
          <w:tcPr>
            <w:tcW w:w="2268" w:type="dxa"/>
            <w:vMerge w:val="restart"/>
            <w:shd w:val="clear" w:color="auto" w:fill="FFEFFF"/>
            <w:tcMar/>
          </w:tcPr>
          <w:p w:rsidRPr="00F9765D" w:rsidR="008E39B4" w:rsidP="00FE54CF" w:rsidRDefault="008E39B4" w14:paraId="47A991E2" w14:textId="7376B834">
            <w:pPr>
              <w:rPr>
                <w:rFonts w:cstheme="minorHAnsi"/>
                <w:b/>
                <w:bCs/>
                <w:color w:val="522A5B"/>
                <w:sz w:val="24"/>
                <w:szCs w:val="24"/>
                <w:u w:val="single"/>
              </w:rPr>
            </w:pPr>
            <w:r w:rsidRPr="00F9765D">
              <w:rPr>
                <w:rFonts w:cstheme="minorHAnsi"/>
                <w:b/>
                <w:bCs/>
                <w:color w:val="522A5B"/>
                <w:sz w:val="24"/>
                <w:szCs w:val="24"/>
                <w:u w:val="single"/>
              </w:rPr>
              <w:t>Key Words</w:t>
            </w:r>
            <w:r w:rsidR="00811F13">
              <w:rPr>
                <w:rFonts w:cstheme="minorHAnsi"/>
                <w:b/>
                <w:bCs/>
                <w:color w:val="522A5B"/>
                <w:sz w:val="24"/>
                <w:szCs w:val="24"/>
                <w:u w:val="single"/>
              </w:rPr>
              <w:t>:</w:t>
            </w:r>
          </w:p>
          <w:p w:rsidR="008E39B4" w:rsidP="00FE54CF" w:rsidRDefault="00235BD4" w14:paraId="3A3C0EE6" w14:textId="008AB97E">
            <w:pPr>
              <w:rPr>
                <w:rFonts w:cstheme="minorHAnsi"/>
                <w:color w:val="000000" w:themeColor="text1"/>
                <w:sz w:val="20"/>
                <w:szCs w:val="20"/>
              </w:rPr>
            </w:pPr>
            <w:r>
              <w:rPr>
                <w:rFonts w:cstheme="minorHAnsi"/>
                <w:color w:val="000000" w:themeColor="text1"/>
                <w:sz w:val="20"/>
                <w:szCs w:val="20"/>
              </w:rPr>
              <w:t>Proportion</w:t>
            </w:r>
          </w:p>
          <w:p w:rsidRPr="00235BD4" w:rsidR="00235BD4" w:rsidP="00235BD4" w:rsidRDefault="00235BD4" w14:paraId="0EBFC0D5" w14:textId="21E1EB01">
            <w:pPr>
              <w:rPr>
                <w:rFonts w:cstheme="minorHAnsi"/>
                <w:color w:val="000000" w:themeColor="text1"/>
                <w:sz w:val="20"/>
                <w:szCs w:val="20"/>
              </w:rPr>
            </w:pPr>
            <w:r>
              <w:rPr>
                <w:rFonts w:cstheme="minorHAnsi"/>
                <w:color w:val="000000" w:themeColor="text1"/>
                <w:sz w:val="20"/>
                <w:szCs w:val="20"/>
              </w:rPr>
              <w:t>Ratio</w:t>
            </w:r>
          </w:p>
          <w:p w:rsidR="00235BD4" w:rsidP="00235BD4" w:rsidRDefault="00235BD4" w14:paraId="79680148" w14:textId="517CEEEB">
            <w:pPr>
              <w:rPr>
                <w:rFonts w:cstheme="minorHAnsi"/>
                <w:sz w:val="20"/>
                <w:szCs w:val="20"/>
              </w:rPr>
            </w:pPr>
            <w:r>
              <w:rPr>
                <w:rFonts w:cstheme="minorHAnsi"/>
                <w:sz w:val="20"/>
                <w:szCs w:val="20"/>
              </w:rPr>
              <w:t>Mean</w:t>
            </w:r>
          </w:p>
          <w:p w:rsidR="00235BD4" w:rsidP="00235BD4" w:rsidRDefault="00235BD4" w14:paraId="40E68BB5" w14:textId="0B35CC90">
            <w:pPr>
              <w:rPr>
                <w:rFonts w:cstheme="minorHAnsi"/>
                <w:sz w:val="20"/>
                <w:szCs w:val="20"/>
              </w:rPr>
            </w:pPr>
            <w:r>
              <w:rPr>
                <w:rFonts w:cstheme="minorHAnsi"/>
                <w:sz w:val="20"/>
                <w:szCs w:val="20"/>
              </w:rPr>
              <w:t>Median</w:t>
            </w:r>
          </w:p>
          <w:p w:rsidR="00235BD4" w:rsidP="00235BD4" w:rsidRDefault="00235BD4" w14:paraId="7439F37F" w14:textId="3BE2D7B9">
            <w:pPr>
              <w:rPr>
                <w:rFonts w:cstheme="minorHAnsi"/>
                <w:sz w:val="20"/>
                <w:szCs w:val="20"/>
              </w:rPr>
            </w:pPr>
            <w:r>
              <w:rPr>
                <w:rFonts w:cstheme="minorHAnsi"/>
                <w:sz w:val="20"/>
                <w:szCs w:val="20"/>
              </w:rPr>
              <w:t>Mode</w:t>
            </w:r>
          </w:p>
          <w:p w:rsidR="00235BD4" w:rsidP="00235BD4" w:rsidRDefault="00235BD4" w14:paraId="7668E8AC" w14:textId="2F47AF3E">
            <w:pPr>
              <w:rPr>
                <w:rFonts w:cstheme="minorHAnsi"/>
                <w:sz w:val="20"/>
                <w:szCs w:val="20"/>
              </w:rPr>
            </w:pPr>
            <w:r>
              <w:rPr>
                <w:rFonts w:cstheme="minorHAnsi"/>
                <w:sz w:val="20"/>
                <w:szCs w:val="20"/>
              </w:rPr>
              <w:t xml:space="preserve">Range </w:t>
            </w:r>
          </w:p>
          <w:p w:rsidR="00235BD4" w:rsidP="00235BD4" w:rsidRDefault="00235BD4" w14:paraId="665D7730" w14:textId="6C1AB124">
            <w:pPr>
              <w:rPr>
                <w:rFonts w:cstheme="minorHAnsi"/>
                <w:sz w:val="20"/>
                <w:szCs w:val="20"/>
              </w:rPr>
            </w:pPr>
            <w:r>
              <w:rPr>
                <w:rFonts w:cstheme="minorHAnsi"/>
                <w:sz w:val="20"/>
                <w:szCs w:val="20"/>
              </w:rPr>
              <w:t>Data</w:t>
            </w:r>
          </w:p>
          <w:p w:rsidR="00235BD4" w:rsidP="00235BD4" w:rsidRDefault="00235BD4" w14:paraId="570AA731" w14:textId="0AD82A78">
            <w:pPr>
              <w:rPr>
                <w:rFonts w:cstheme="minorHAnsi"/>
                <w:sz w:val="20"/>
                <w:szCs w:val="20"/>
              </w:rPr>
            </w:pPr>
            <w:r>
              <w:rPr>
                <w:rFonts w:cstheme="minorHAnsi"/>
                <w:sz w:val="20"/>
                <w:szCs w:val="20"/>
              </w:rPr>
              <w:t xml:space="preserve">Scatter graph </w:t>
            </w:r>
          </w:p>
          <w:p w:rsidRPr="00235BD4" w:rsidR="00235BD4" w:rsidP="00235BD4" w:rsidRDefault="00235BD4" w14:paraId="49147324" w14:textId="331C7912">
            <w:pPr>
              <w:rPr>
                <w:rFonts w:cstheme="minorHAnsi"/>
                <w:sz w:val="20"/>
                <w:szCs w:val="20"/>
              </w:rPr>
            </w:pPr>
          </w:p>
        </w:tc>
      </w:tr>
      <w:tr w:rsidRPr="00F9765D" w:rsidR="008E39B4" w:rsidTr="182E0F05" w14:paraId="70713B32" w14:textId="77777777">
        <w:trPr>
          <w:trHeight w:val="3639"/>
        </w:trPr>
        <w:tc>
          <w:tcPr>
            <w:tcW w:w="8070" w:type="dxa"/>
            <w:gridSpan w:val="2"/>
            <w:shd w:val="clear" w:color="auto" w:fill="FFEFFF"/>
            <w:tcMar/>
          </w:tcPr>
          <w:p w:rsidR="008E39B4" w:rsidP="209BDB0F" w:rsidRDefault="209BDB0F" w14:paraId="729FE31C" w14:textId="77777777">
            <w:pPr>
              <w:pStyle w:val="ListParagraph"/>
              <w:rPr>
                <w:rFonts w:ascii="Helvetica" w:hAnsi="Helvetica" w:eastAsia="Helvetica" w:cs="Helvetica"/>
                <w:b/>
                <w:bCs/>
                <w:color w:val="4B4B4B"/>
                <w:sz w:val="24"/>
                <w:szCs w:val="24"/>
                <w:u w:val="single"/>
              </w:rPr>
            </w:pPr>
            <w:r w:rsidRPr="209BDB0F">
              <w:rPr>
                <w:rFonts w:ascii="Helvetica" w:hAnsi="Helvetica" w:eastAsia="Helvetica" w:cs="Helvetica"/>
                <w:b/>
                <w:bCs/>
                <w:color w:val="4B4B4B"/>
                <w:sz w:val="24"/>
                <w:szCs w:val="24"/>
                <w:u w:val="single"/>
              </w:rPr>
              <w:t>What will we learn?</w:t>
            </w:r>
          </w:p>
          <w:p w:rsidR="006A4FDE" w:rsidP="002E6AA8" w:rsidRDefault="006A4FDE" w14:paraId="427CDE74" w14:textId="3F35D3FE">
            <w:pPr>
              <w:pStyle w:val="ListParagraph"/>
              <w:numPr>
                <w:ilvl w:val="0"/>
                <w:numId w:val="7"/>
              </w:numPr>
            </w:pPr>
            <w:r>
              <w:t xml:space="preserve">Understand that multiplicative relationships can be represented in </w:t>
            </w:r>
            <w:proofErr w:type="gramStart"/>
            <w:r>
              <w:t>a number of</w:t>
            </w:r>
            <w:proofErr w:type="gramEnd"/>
            <w:r>
              <w:t xml:space="preserve"> ways and connect and move between those different representations</w:t>
            </w:r>
            <w:r w:rsidR="002E6AA8">
              <w:t>.</w:t>
            </w:r>
          </w:p>
          <w:p w:rsidR="006A4FDE" w:rsidP="002E6AA8" w:rsidRDefault="006A4FDE" w14:paraId="32354FBB" w14:textId="259A9AD3">
            <w:pPr>
              <w:pStyle w:val="ListParagraph"/>
              <w:numPr>
                <w:ilvl w:val="0"/>
                <w:numId w:val="7"/>
              </w:numPr>
            </w:pPr>
            <w:r>
              <w:t>Understand that percentages are an example of a multiplicative relationship and apply this understanding to a range of contexts</w:t>
            </w:r>
            <w:r w:rsidR="002E6AA8">
              <w:t>.</w:t>
            </w:r>
          </w:p>
          <w:p w:rsidR="006A4FDE" w:rsidP="002E6AA8" w:rsidRDefault="006A4FDE" w14:paraId="6965AAEE" w14:textId="239C3C74">
            <w:pPr>
              <w:pStyle w:val="ListParagraph"/>
              <w:numPr>
                <w:ilvl w:val="0"/>
                <w:numId w:val="7"/>
              </w:numPr>
            </w:pPr>
            <w:r>
              <w:t>Understand proportionality</w:t>
            </w:r>
            <w:r w:rsidR="002E6AA8">
              <w:t>.</w:t>
            </w:r>
          </w:p>
          <w:p w:rsidR="006A4FDE" w:rsidP="002E6AA8" w:rsidRDefault="006A4FDE" w14:paraId="27E3B466" w14:textId="77777777">
            <w:pPr>
              <w:pStyle w:val="ListParagraph"/>
              <w:numPr>
                <w:ilvl w:val="0"/>
                <w:numId w:val="7"/>
              </w:numPr>
            </w:pPr>
            <w:r>
              <w:t>Understand and calculate accurately measures of central tendency and spread</w:t>
            </w:r>
          </w:p>
          <w:p w:rsidR="006A4FDE" w:rsidP="002E6AA8" w:rsidRDefault="006A4FDE" w14:paraId="17C973AE" w14:textId="3475CF62">
            <w:pPr>
              <w:pStyle w:val="ListParagraph"/>
              <w:numPr>
                <w:ilvl w:val="0"/>
                <w:numId w:val="7"/>
              </w:numPr>
            </w:pPr>
            <w:r>
              <w:t>Construct accurately statistical representations</w:t>
            </w:r>
            <w:r w:rsidR="002E6AA8">
              <w:t>.</w:t>
            </w:r>
          </w:p>
          <w:p w:rsidR="006A4FDE" w:rsidP="002E6AA8" w:rsidRDefault="006A4FDE" w14:paraId="0C266773" w14:textId="1C14F5A1">
            <w:pPr>
              <w:pStyle w:val="ListParagraph"/>
              <w:numPr>
                <w:ilvl w:val="0"/>
                <w:numId w:val="7"/>
              </w:numPr>
            </w:pPr>
            <w:r>
              <w:t>Interpret reasonably statistical measures and representations</w:t>
            </w:r>
            <w:r w:rsidR="002E6AA8">
              <w:t>.</w:t>
            </w:r>
          </w:p>
          <w:p w:rsidRPr="002E6AA8" w:rsidR="002E6AA8" w:rsidP="002E6AA8" w:rsidRDefault="006A4FDE" w14:paraId="704CD9BE" w14:textId="361BB433">
            <w:pPr>
              <w:pStyle w:val="ListParagraph"/>
              <w:numPr>
                <w:ilvl w:val="0"/>
                <w:numId w:val="7"/>
              </w:numPr>
            </w:pPr>
            <w:r>
              <w:t>Choose appropriately statistical measures and representations</w:t>
            </w:r>
            <w:r w:rsidR="002E6AA8">
              <w:t>.</w:t>
            </w:r>
          </w:p>
        </w:tc>
        <w:tc>
          <w:tcPr>
            <w:tcW w:w="2268" w:type="dxa"/>
            <w:vMerge/>
            <w:tcMar/>
          </w:tcPr>
          <w:p w:rsidRPr="00F9765D" w:rsidR="008E39B4" w:rsidP="00FE54CF" w:rsidRDefault="008E39B4" w14:paraId="4F4A4CCD" w14:textId="77777777">
            <w:pPr>
              <w:rPr>
                <w:rFonts w:cstheme="minorHAnsi"/>
                <w:b/>
                <w:bCs/>
                <w:sz w:val="24"/>
                <w:szCs w:val="24"/>
                <w:u w:val="single"/>
              </w:rPr>
            </w:pPr>
          </w:p>
        </w:tc>
      </w:tr>
      <w:tr w:rsidRPr="00F9765D" w:rsidR="008E39B4" w:rsidTr="182E0F05" w14:paraId="41DD1A54" w14:textId="77777777">
        <w:trPr>
          <w:trHeight w:val="4774"/>
        </w:trPr>
        <w:tc>
          <w:tcPr>
            <w:tcW w:w="8070" w:type="dxa"/>
            <w:gridSpan w:val="2"/>
            <w:shd w:val="clear" w:color="auto" w:fill="FFEFFF"/>
            <w:tcMar/>
          </w:tcPr>
          <w:p w:rsidRPr="00F9765D" w:rsidR="008E39B4" w:rsidP="00FE54CF" w:rsidRDefault="008E39B4" w14:paraId="42F8EE7E" w14:textId="77777777">
            <w:pPr>
              <w:rPr>
                <w:rFonts w:cstheme="minorHAnsi"/>
                <w:b/>
                <w:bCs/>
                <w:color w:val="522A5B"/>
                <w:sz w:val="24"/>
                <w:szCs w:val="24"/>
                <w:u w:val="single"/>
              </w:rPr>
            </w:pPr>
            <w:r w:rsidRPr="182E0F05" w:rsidR="008E39B4">
              <w:rPr>
                <w:rFonts w:cs="Calibri" w:cstheme="minorAscii"/>
                <w:b w:val="1"/>
                <w:bCs w:val="1"/>
                <w:color w:val="522A5B"/>
                <w:sz w:val="24"/>
                <w:szCs w:val="24"/>
                <w:u w:val="single"/>
              </w:rPr>
              <w:t>What opportunities are there for wider study?</w:t>
            </w:r>
          </w:p>
          <w:p w:rsidRPr="006A4FDE" w:rsidR="006A4FDE" w:rsidP="006A4FDE" w:rsidRDefault="006A4FDE" w14:paraId="3CB6A377" w14:textId="77777777">
            <w:pPr>
              <w:autoSpaceDE w:val="0"/>
              <w:autoSpaceDN w:val="0"/>
              <w:spacing w:after="0" w:line="240" w:lineRule="auto"/>
              <w:rPr>
                <w:rFonts w:ascii="Calibri" w:hAnsi="Calibri" w:eastAsia="Calibri" w:cs="Calibri"/>
                <w:color w:val="000000"/>
                <w:sz w:val="20"/>
                <w:szCs w:val="20"/>
              </w:rPr>
            </w:pPr>
            <w:r w:rsidRPr="006A4FDE">
              <w:rPr>
                <w:rFonts w:ascii="Calibri" w:hAnsi="Calibri" w:eastAsia="Calibri" w:cs="Calibri"/>
                <w:b/>
                <w:bCs/>
                <w:color w:val="000000"/>
                <w:sz w:val="20"/>
                <w:szCs w:val="20"/>
              </w:rPr>
              <w:t xml:space="preserve">Dr Frost Maths </w:t>
            </w:r>
            <w:r w:rsidRPr="006A4FDE">
              <w:rPr>
                <w:rFonts w:ascii="Calibri" w:hAnsi="Calibri" w:eastAsia="Calibri" w:cs="Calibri"/>
                <w:color w:val="000000"/>
                <w:sz w:val="20"/>
                <w:szCs w:val="20"/>
              </w:rPr>
              <w:t xml:space="preserve">is the primary resource that we use for homestudies and it has lots of useful revision tools. Your PLC will link to the relevant Dr Frost video and you can then select “Practise this skill” button below to practise some questions. </w:t>
            </w:r>
          </w:p>
          <w:p w:rsidRPr="006A4FDE" w:rsidR="006A4FDE" w:rsidP="006A4FDE" w:rsidRDefault="006A4FDE" w14:paraId="45A9E58C" w14:textId="77777777">
            <w:pPr>
              <w:autoSpaceDE w:val="0"/>
              <w:autoSpaceDN w:val="0"/>
              <w:spacing w:after="0" w:line="240" w:lineRule="auto"/>
              <w:rPr>
                <w:rFonts w:ascii="Calibri" w:hAnsi="Calibri" w:eastAsia="Calibri" w:cs="Calibri"/>
                <w:color w:val="000000"/>
                <w:sz w:val="20"/>
                <w:szCs w:val="20"/>
              </w:rPr>
            </w:pPr>
            <w:r w:rsidRPr="006A4FDE">
              <w:rPr>
                <w:rFonts w:ascii="Calibri" w:hAnsi="Calibri" w:eastAsia="Calibri" w:cs="Calibri"/>
                <w:color w:val="000000"/>
                <w:sz w:val="20"/>
                <w:szCs w:val="20"/>
              </w:rPr>
              <w:t xml:space="preserve">Alongside this, you can search for a specific topic and you can either practise some questions </w:t>
            </w:r>
            <w:proofErr w:type="gramStart"/>
            <w:r w:rsidRPr="006A4FDE">
              <w:rPr>
                <w:rFonts w:ascii="Calibri" w:hAnsi="Calibri" w:eastAsia="Calibri" w:cs="Calibri"/>
                <w:color w:val="000000"/>
                <w:sz w:val="20"/>
                <w:szCs w:val="20"/>
              </w:rPr>
              <w:t>online, or</w:t>
            </w:r>
            <w:proofErr w:type="gramEnd"/>
            <w:r w:rsidRPr="006A4FDE">
              <w:rPr>
                <w:rFonts w:ascii="Calibri" w:hAnsi="Calibri" w:eastAsia="Calibri" w:cs="Calibri"/>
                <w:color w:val="000000"/>
                <w:sz w:val="20"/>
                <w:szCs w:val="20"/>
              </w:rPr>
              <w:t xml:space="preserve"> watch a video. Under the resources section, there is also a “Full Coverage” document for some topics that have a huge bank of exam questions on the topic in question. </w:t>
            </w:r>
          </w:p>
          <w:p w:rsidRPr="006A4FDE" w:rsidR="006A4FDE" w:rsidP="006A4FDE" w:rsidRDefault="006A4FDE" w14:paraId="21D7F31E" w14:textId="77777777">
            <w:pPr>
              <w:autoSpaceDE w:val="0"/>
              <w:autoSpaceDN w:val="0"/>
              <w:spacing w:after="0" w:line="240" w:lineRule="auto"/>
              <w:rPr>
                <w:rFonts w:ascii="Calibri" w:hAnsi="Calibri" w:eastAsia="Calibri" w:cs="Calibri"/>
                <w:color w:val="000000"/>
                <w:sz w:val="20"/>
                <w:szCs w:val="20"/>
              </w:rPr>
            </w:pPr>
            <w:r w:rsidRPr="006A4FDE">
              <w:rPr>
                <w:rFonts w:ascii="Calibri" w:hAnsi="Calibri" w:eastAsia="Calibri" w:cs="Calibri"/>
                <w:color w:val="000000"/>
                <w:sz w:val="20"/>
                <w:szCs w:val="20"/>
              </w:rPr>
              <w:t xml:space="preserve">Log in to get the most out of this resource. </w:t>
            </w:r>
          </w:p>
          <w:p w:rsidRPr="006A4FDE" w:rsidR="006A4FDE" w:rsidP="006A4FDE" w:rsidRDefault="006A4FDE" w14:paraId="749695C5" w14:textId="77777777">
            <w:pPr>
              <w:autoSpaceDE w:val="0"/>
              <w:autoSpaceDN w:val="0"/>
              <w:spacing w:after="0" w:line="240" w:lineRule="auto"/>
              <w:rPr>
                <w:rFonts w:ascii="Calibri" w:hAnsi="Calibri" w:eastAsia="Calibri" w:cs="Calibri"/>
                <w:color w:val="000000"/>
                <w:sz w:val="20"/>
                <w:szCs w:val="20"/>
              </w:rPr>
            </w:pPr>
            <w:hyperlink w:history="1" r:id="rId10">
              <w:r w:rsidRPr="006A4FDE">
                <w:rPr>
                  <w:rFonts w:ascii="Calibri" w:hAnsi="Calibri" w:eastAsia="Calibri" w:cs="Calibri"/>
                  <w:color w:val="0563C1"/>
                  <w:sz w:val="20"/>
                  <w:szCs w:val="20"/>
                  <w:u w:val="single"/>
                </w:rPr>
                <w:t>https://www.drfrostmaths.com/course.php?sid=-10</w:t>
              </w:r>
            </w:hyperlink>
            <w:r w:rsidRPr="006A4FDE">
              <w:rPr>
                <w:rFonts w:ascii="Calibri" w:hAnsi="Calibri" w:eastAsia="Calibri" w:cs="Calibri"/>
                <w:color w:val="000000"/>
                <w:sz w:val="20"/>
                <w:szCs w:val="20"/>
              </w:rPr>
              <w:t xml:space="preserve"> </w:t>
            </w:r>
          </w:p>
          <w:p w:rsidRPr="006A4FDE" w:rsidR="006A4FDE" w:rsidP="006A4FDE" w:rsidRDefault="006A4FDE" w14:paraId="4FFC9888" w14:textId="77777777">
            <w:pPr>
              <w:autoSpaceDE w:val="0"/>
              <w:autoSpaceDN w:val="0"/>
              <w:spacing w:after="0" w:line="240" w:lineRule="auto"/>
              <w:rPr>
                <w:rFonts w:ascii="Calibri" w:hAnsi="Calibri" w:eastAsia="Calibri" w:cs="Calibri"/>
                <w:color w:val="000000"/>
                <w:sz w:val="20"/>
                <w:szCs w:val="20"/>
              </w:rPr>
            </w:pPr>
            <w:r w:rsidRPr="006A4FDE">
              <w:rPr>
                <w:rFonts w:ascii="Calibri" w:hAnsi="Calibri" w:eastAsia="Calibri" w:cs="Calibri"/>
                <w:b/>
                <w:bCs/>
                <w:color w:val="000000"/>
                <w:sz w:val="20"/>
                <w:szCs w:val="20"/>
              </w:rPr>
              <w:t xml:space="preserve">Corbett Maths </w:t>
            </w:r>
            <w:r w:rsidRPr="006A4FDE">
              <w:rPr>
                <w:rFonts w:ascii="Calibri" w:hAnsi="Calibri" w:eastAsia="Calibri" w:cs="Calibri"/>
                <w:color w:val="000000"/>
                <w:sz w:val="20"/>
                <w:szCs w:val="20"/>
              </w:rPr>
              <w:t xml:space="preserve">is a good website that has video links as well as Practice Questions and Textbook Exercises. There are also answers available. </w:t>
            </w:r>
          </w:p>
          <w:p w:rsidRPr="006A4FDE" w:rsidR="006A4FDE" w:rsidP="006A4FDE" w:rsidRDefault="006A4FDE" w14:paraId="28747DE3" w14:textId="77777777">
            <w:pPr>
              <w:autoSpaceDE w:val="0"/>
              <w:autoSpaceDN w:val="0"/>
              <w:spacing w:after="0" w:line="240" w:lineRule="auto"/>
              <w:rPr>
                <w:rFonts w:ascii="Calibri" w:hAnsi="Calibri" w:eastAsia="Calibri" w:cs="Calibri"/>
                <w:color w:val="000000"/>
                <w:sz w:val="20"/>
                <w:szCs w:val="20"/>
              </w:rPr>
            </w:pPr>
            <w:hyperlink w:history="1" r:id="rId11">
              <w:r w:rsidRPr="006A4FDE">
                <w:rPr>
                  <w:rFonts w:ascii="Calibri" w:hAnsi="Calibri" w:eastAsia="Calibri" w:cs="Calibri"/>
                  <w:color w:val="0563C1"/>
                  <w:sz w:val="20"/>
                  <w:szCs w:val="20"/>
                  <w:u w:val="single"/>
                </w:rPr>
                <w:t>https://corbettmaths.com/contents/</w:t>
              </w:r>
            </w:hyperlink>
            <w:r w:rsidRPr="006A4FDE">
              <w:rPr>
                <w:rFonts w:ascii="Calibri" w:hAnsi="Calibri" w:eastAsia="Calibri" w:cs="Calibri"/>
                <w:color w:val="000000"/>
                <w:sz w:val="20"/>
                <w:szCs w:val="20"/>
              </w:rPr>
              <w:t xml:space="preserve"> </w:t>
            </w:r>
          </w:p>
          <w:p w:rsidRPr="006A4FDE" w:rsidR="006A4FDE" w:rsidP="006A4FDE" w:rsidRDefault="006A4FDE" w14:paraId="180E3732" w14:textId="77777777">
            <w:pPr>
              <w:autoSpaceDE w:val="0"/>
              <w:autoSpaceDN w:val="0"/>
              <w:spacing w:after="0" w:line="240" w:lineRule="auto"/>
              <w:rPr>
                <w:rFonts w:ascii="Calibri" w:hAnsi="Calibri" w:eastAsia="Calibri" w:cs="Calibri"/>
                <w:color w:val="000000"/>
                <w:sz w:val="20"/>
                <w:szCs w:val="20"/>
              </w:rPr>
            </w:pPr>
            <w:r w:rsidRPr="006A4FDE">
              <w:rPr>
                <w:rFonts w:ascii="Calibri" w:hAnsi="Calibri" w:eastAsia="Calibri" w:cs="Calibri"/>
                <w:b/>
                <w:bCs/>
                <w:color w:val="000000"/>
                <w:sz w:val="20"/>
                <w:szCs w:val="20"/>
              </w:rPr>
              <w:t xml:space="preserve">MathsGenie </w:t>
            </w:r>
            <w:r w:rsidRPr="006A4FDE">
              <w:rPr>
                <w:rFonts w:ascii="Calibri" w:hAnsi="Calibri" w:eastAsia="Calibri" w:cs="Calibri"/>
                <w:color w:val="000000"/>
                <w:sz w:val="20"/>
                <w:szCs w:val="20"/>
              </w:rPr>
              <w:t xml:space="preserve">is another website that has videos and exam questions (along with worked solutions). </w:t>
            </w:r>
          </w:p>
          <w:p w:rsidRPr="00811F13" w:rsidR="006A4FDE" w:rsidP="182E0F05" w:rsidRDefault="006A4FDE" w14:paraId="14CAA238" w14:textId="1F1AC49F">
            <w:pPr>
              <w:rPr>
                <w:rFonts w:cs="Calibri" w:cstheme="minorAscii"/>
                <w:color w:val="000000" w:themeColor="text1" w:themeTint="FF" w:themeShade="FF"/>
                <w:sz w:val="20"/>
                <w:szCs w:val="20"/>
              </w:rPr>
            </w:pPr>
            <w:hyperlink r:id="Rda53d3210af74f3b">
              <w:r w:rsidRPr="182E0F05" w:rsidR="006A4FDE">
                <w:rPr>
                  <w:rFonts w:ascii="Calibri" w:hAnsi="Calibri" w:eastAsia="Calibri" w:cs="Calibri"/>
                  <w:color w:val="0563C1"/>
                  <w:sz w:val="20"/>
                  <w:szCs w:val="20"/>
                  <w:u w:val="single"/>
                </w:rPr>
                <w:t>https://www.mathsgenie.co.uk/advance-information.html</w:t>
              </w:r>
            </w:hyperlink>
          </w:p>
          <w:p w:rsidRPr="00811F13" w:rsidR="006A4FDE" w:rsidP="182E0F05" w:rsidRDefault="006A4FDE" w14:paraId="1CED6B8C" w14:textId="645CC686">
            <w:pPr>
              <w:pStyle w:val="Normal"/>
              <w:rPr>
                <w:rFonts w:ascii="Calibri" w:hAnsi="Calibri" w:eastAsia="Calibri" w:cs="Calibri"/>
                <w:color w:val="0563C1"/>
                <w:sz w:val="20"/>
                <w:szCs w:val="20"/>
                <w:u w:val="single"/>
              </w:rPr>
            </w:pPr>
          </w:p>
          <w:p w:rsidRPr="00811F13" w:rsidR="006A4FDE" w:rsidP="182E0F05" w:rsidRDefault="006A4FDE" w14:paraId="278B5737" w14:textId="20312687">
            <w:pPr>
              <w:pStyle w:val="Normal"/>
              <w:rPr>
                <w:rFonts w:ascii="Calibri" w:hAnsi="Calibri" w:eastAsia="Calibri" w:cs="Calibri"/>
                <w:b w:val="1"/>
                <w:bCs w:val="1"/>
                <w:color w:val="auto"/>
                <w:sz w:val="20"/>
                <w:szCs w:val="20"/>
                <w:u w:val="none"/>
              </w:rPr>
            </w:pPr>
            <w:r w:rsidRPr="182E0F05" w:rsidR="182E0F05">
              <w:rPr>
                <w:rFonts w:ascii="Calibri" w:hAnsi="Calibri" w:eastAsia="Calibri" w:cs="Calibri"/>
                <w:b w:val="1"/>
                <w:bCs w:val="1"/>
                <w:color w:val="auto"/>
                <w:sz w:val="20"/>
                <w:szCs w:val="20"/>
                <w:u w:val="none"/>
              </w:rPr>
              <w:t>Careers Link</w:t>
            </w:r>
          </w:p>
          <w:p w:rsidRPr="00811F13" w:rsidR="006A4FDE" w:rsidP="182E0F05" w:rsidRDefault="006A4FDE" w14:paraId="14BC6AA8" w14:textId="77777777">
            <w:pPr>
              <w:rPr>
                <w:rFonts w:cs="Calibri" w:cstheme="minorAscii"/>
                <w:color w:val="000000" w:themeColor="text1" w:themeTint="FF" w:themeShade="FF"/>
                <w:sz w:val="20"/>
                <w:szCs w:val="20"/>
              </w:rPr>
            </w:pPr>
            <w:r w:rsidRPr="182E0F05" w:rsidR="006A4FDE">
              <w:rPr>
                <w:rFonts w:cs="Calibri" w:cstheme="minorAscii"/>
                <w:color w:val="000000" w:themeColor="text1" w:themeTint="FF" w:themeShade="FF"/>
                <w:sz w:val="20"/>
                <w:szCs w:val="20"/>
              </w:rPr>
              <w:t>Insurance</w:t>
            </w:r>
          </w:p>
          <w:p w:rsidRPr="00811F13" w:rsidR="006A4FDE" w:rsidP="182E0F05" w:rsidRDefault="006A4FDE" w14:paraId="49ACC195" w14:textId="3CF6B0F0">
            <w:pPr>
              <w:rPr>
                <w:rFonts w:cs="Calibri" w:cstheme="minorAscii"/>
                <w:color w:val="000000" w:themeColor="text1" w:themeTint="FF" w:themeShade="FF"/>
                <w:sz w:val="20"/>
                <w:szCs w:val="20"/>
              </w:rPr>
            </w:pPr>
            <w:r w:rsidRPr="182E0F05" w:rsidR="006A4FDE">
              <w:rPr>
                <w:rFonts w:cs="Calibri" w:cstheme="minorAscii"/>
                <w:color w:val="000000" w:themeColor="text1" w:themeTint="FF" w:themeShade="FF"/>
                <w:sz w:val="20"/>
                <w:szCs w:val="20"/>
              </w:rPr>
              <w:t>Actuarial science</w:t>
            </w:r>
          </w:p>
          <w:p w:rsidRPr="00811F13" w:rsidR="006A4FDE" w:rsidP="182E0F05" w:rsidRDefault="006A4FDE" w14:paraId="001E2D6F" w14:textId="3AEAD7E5">
            <w:pPr>
              <w:pStyle w:val="Normal"/>
              <w:rPr>
                <w:rFonts w:ascii="Calibri" w:hAnsi="Calibri" w:eastAsia="Calibri" w:cs="Calibri"/>
                <w:b w:val="1"/>
                <w:bCs w:val="1"/>
                <w:color w:val="auto" w:themeColor="text1"/>
                <w:sz w:val="20"/>
                <w:szCs w:val="20"/>
                <w:u w:val="none"/>
              </w:rPr>
            </w:pPr>
          </w:p>
        </w:tc>
        <w:tc>
          <w:tcPr>
            <w:tcW w:w="2268" w:type="dxa"/>
            <w:vMerge/>
            <w:tcMar/>
          </w:tcPr>
          <w:p w:rsidRPr="00F9765D" w:rsidR="008E39B4" w:rsidP="00FE54CF" w:rsidRDefault="008E39B4" w14:paraId="20C1B22D" w14:textId="77777777">
            <w:pPr>
              <w:rPr>
                <w:rFonts w:cstheme="minorHAnsi"/>
                <w:b/>
                <w:bCs/>
                <w:sz w:val="24"/>
                <w:szCs w:val="24"/>
                <w:u w:val="single"/>
              </w:rPr>
            </w:pPr>
          </w:p>
        </w:tc>
      </w:tr>
      <w:tr w:rsidRPr="00F9765D" w:rsidR="008E39B4" w:rsidTr="182E0F05" w14:paraId="08B85AF4" w14:textId="77777777">
        <w:trPr>
          <w:trHeight w:val="558"/>
        </w:trPr>
        <w:tc>
          <w:tcPr>
            <w:tcW w:w="8070" w:type="dxa"/>
            <w:gridSpan w:val="2"/>
            <w:shd w:val="clear" w:color="auto" w:fill="FFEFFF"/>
            <w:tcMar/>
          </w:tcPr>
          <w:p w:rsidRPr="0083335D" w:rsidR="008E39B4" w:rsidP="00FE54CF" w:rsidRDefault="008E39B4" w14:paraId="5A47D04C" w14:textId="77777777">
            <w:pPr>
              <w:rPr>
                <w:rFonts w:cstheme="minorHAnsi"/>
                <w:b/>
                <w:bCs/>
                <w:color w:val="461E64"/>
                <w:sz w:val="24"/>
                <w:szCs w:val="24"/>
                <w:u w:val="single"/>
              </w:rPr>
            </w:pPr>
            <w:r w:rsidRPr="0083335D">
              <w:rPr>
                <w:rFonts w:cstheme="minorHAnsi"/>
                <w:b/>
                <w:bCs/>
                <w:color w:val="461E64"/>
                <w:sz w:val="24"/>
                <w:szCs w:val="24"/>
                <w:u w:val="single"/>
              </w:rPr>
              <w:t>How will I be assessed?</w:t>
            </w:r>
          </w:p>
          <w:p w:rsidRPr="0059538B" w:rsidR="00235BD4" w:rsidP="00235BD4" w:rsidRDefault="00235BD4" w14:paraId="03AC6945" w14:textId="77777777">
            <w:pPr>
              <w:rPr>
                <w:rFonts w:cstheme="minorHAnsi"/>
                <w:color w:val="000000" w:themeColor="text1"/>
                <w:sz w:val="20"/>
                <w:szCs w:val="20"/>
              </w:rPr>
            </w:pPr>
            <w:r w:rsidRPr="0059538B">
              <w:rPr>
                <w:rFonts w:cstheme="minorHAnsi"/>
                <w:color w:val="000000" w:themeColor="text1"/>
                <w:sz w:val="20"/>
                <w:szCs w:val="20"/>
              </w:rPr>
              <w:t>Home study</w:t>
            </w:r>
          </w:p>
          <w:p w:rsidRPr="0059538B" w:rsidR="00235BD4" w:rsidP="00235BD4" w:rsidRDefault="00235BD4" w14:paraId="084F3218" w14:textId="77777777">
            <w:pPr>
              <w:rPr>
                <w:rFonts w:cstheme="minorHAnsi"/>
                <w:color w:val="000000" w:themeColor="text1"/>
                <w:sz w:val="20"/>
                <w:szCs w:val="20"/>
              </w:rPr>
            </w:pPr>
            <w:r w:rsidRPr="0059538B">
              <w:rPr>
                <w:rFonts w:cstheme="minorHAnsi"/>
                <w:color w:val="000000" w:themeColor="text1"/>
                <w:sz w:val="20"/>
                <w:szCs w:val="20"/>
              </w:rPr>
              <w:t>Half</w:t>
            </w:r>
            <w:r>
              <w:rPr>
                <w:rFonts w:cstheme="minorHAnsi"/>
                <w:color w:val="000000" w:themeColor="text1"/>
                <w:sz w:val="20"/>
                <w:szCs w:val="20"/>
              </w:rPr>
              <w:t xml:space="preserve"> </w:t>
            </w:r>
            <w:r w:rsidRPr="0059538B">
              <w:rPr>
                <w:rFonts w:cstheme="minorHAnsi"/>
                <w:color w:val="000000" w:themeColor="text1"/>
                <w:sz w:val="20"/>
                <w:szCs w:val="20"/>
              </w:rPr>
              <w:t>term assessment</w:t>
            </w:r>
          </w:p>
          <w:p w:rsidRPr="003755B6" w:rsidR="00811F13" w:rsidP="00FE54CF" w:rsidRDefault="00235BD4" w14:paraId="7C953E82" w14:textId="205663E9">
            <w:pPr>
              <w:rPr>
                <w:rFonts w:cstheme="minorHAnsi"/>
                <w:b/>
                <w:bCs/>
                <w:color w:val="000000" w:themeColor="text1"/>
                <w:sz w:val="20"/>
                <w:szCs w:val="20"/>
                <w:u w:val="single"/>
              </w:rPr>
            </w:pPr>
            <w:r w:rsidRPr="0059538B">
              <w:rPr>
                <w:rFonts w:cstheme="minorHAnsi"/>
                <w:color w:val="000000" w:themeColor="text1"/>
                <w:sz w:val="20"/>
                <w:szCs w:val="20"/>
              </w:rPr>
              <w:t>Quality of classwor</w:t>
            </w:r>
            <w:r>
              <w:rPr>
                <w:rFonts w:cstheme="minorHAnsi"/>
                <w:color w:val="000000" w:themeColor="text1"/>
                <w:sz w:val="20"/>
                <w:szCs w:val="20"/>
              </w:rPr>
              <w:t>k</w:t>
            </w:r>
          </w:p>
        </w:tc>
        <w:tc>
          <w:tcPr>
            <w:tcW w:w="2268" w:type="dxa"/>
            <w:vMerge/>
            <w:tcMar/>
          </w:tcPr>
          <w:p w:rsidRPr="00F9765D" w:rsidR="008E39B4" w:rsidP="00FE54CF" w:rsidRDefault="008E39B4" w14:paraId="048BF811" w14:textId="77777777">
            <w:pPr>
              <w:rPr>
                <w:rFonts w:cstheme="minorHAnsi"/>
                <w:b/>
                <w:bCs/>
                <w:sz w:val="24"/>
                <w:szCs w:val="24"/>
                <w:u w:val="single"/>
              </w:rPr>
            </w:pPr>
          </w:p>
        </w:tc>
      </w:tr>
    </w:tbl>
    <w:p w:rsidR="0053445E" w:rsidP="008E39B4" w:rsidRDefault="00CE6A5E" w14:paraId="42B3A29B" w14:textId="49864984"/>
    <w:sectPr w:rsidR="0053445E" w:rsidSect="00A23F48">
      <w:headerReference w:type="default" r:id="rId13"/>
      <w:footerReference w:type="default" r:id="rId14"/>
      <w:pgSz w:w="11906" w:h="16838" w:orient="portrait"/>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E6A5E" w:rsidP="00017B74" w:rsidRDefault="00CE6A5E" w14:paraId="39BA79F3" w14:textId="77777777">
      <w:pPr>
        <w:spacing w:after="0" w:line="240" w:lineRule="auto"/>
      </w:pPr>
      <w:r>
        <w:separator/>
      </w:r>
    </w:p>
  </w:endnote>
  <w:endnote w:type="continuationSeparator" w:id="0">
    <w:p w:rsidR="00CE6A5E" w:rsidP="00017B74" w:rsidRDefault="00CE6A5E" w14:paraId="0E26CF9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FB7D5A" w:rsidR="00DB0006" w:rsidP="00DC23A5" w:rsidRDefault="00DB0006" w14:paraId="0FC2E547" w14:textId="450CAD55">
    <w:pPr>
      <w:pStyle w:val="Footer"/>
      <w:jc w:val="center"/>
      <w:rPr>
        <w:b/>
        <w:bCs/>
        <w:sz w:val="56"/>
        <w:szCs w:val="5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E6A5E" w:rsidP="00017B74" w:rsidRDefault="00CE6A5E" w14:paraId="788CAE1D" w14:textId="77777777">
      <w:pPr>
        <w:spacing w:after="0" w:line="240" w:lineRule="auto"/>
      </w:pPr>
      <w:r>
        <w:separator/>
      </w:r>
    </w:p>
  </w:footnote>
  <w:footnote w:type="continuationSeparator" w:id="0">
    <w:p w:rsidR="00CE6A5E" w:rsidP="00017B74" w:rsidRDefault="00CE6A5E" w14:paraId="550CA176"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p w:rsidR="00017B74" w:rsidRDefault="00017B74" w14:paraId="44074E85" w14:textId="53AEF239">
    <w:pPr>
      <w:pStyle w:val="Header"/>
    </w:pPr>
    <w:r>
      <w:rPr>
        <w:noProof/>
        <w:lang w:eastAsia="en-GB"/>
      </w:rPr>
      <w:drawing>
        <wp:anchor distT="0" distB="0" distL="114300" distR="114300" simplePos="0" relativeHeight="251659264" behindDoc="1" locked="0" layoutInCell="1" allowOverlap="1" wp14:anchorId="798F58F5" wp14:editId="1A9569CE">
          <wp:simplePos x="0" y="0"/>
          <wp:positionH relativeFrom="margin">
            <wp:align>left</wp:align>
          </wp:positionH>
          <wp:positionV relativeFrom="topMargin">
            <wp:posOffset>288925</wp:posOffset>
          </wp:positionV>
          <wp:extent cx="3609975" cy="426720"/>
          <wp:effectExtent l="0" t="0" r="9525" b="0"/>
          <wp:wrapTight wrapText="bothSides">
            <wp:wrapPolygon edited="0">
              <wp:start x="342" y="0"/>
              <wp:lineTo x="0" y="2893"/>
              <wp:lineTo x="0" y="15429"/>
              <wp:lineTo x="570" y="20250"/>
              <wp:lineTo x="684" y="20250"/>
              <wp:lineTo x="6383" y="20250"/>
              <wp:lineTo x="21543" y="17357"/>
              <wp:lineTo x="21543" y="0"/>
              <wp:lineTo x="2166" y="0"/>
              <wp:lineTo x="342"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extLst>
                      <a:ext uri="{28A0092B-C50C-407E-A947-70E740481C1C}">
                        <a14:useLocalDpi xmlns:a14="http://schemas.microsoft.com/office/drawing/2010/main" val="0"/>
                      </a:ext>
                    </a:extLst>
                  </a:blip>
                  <a:stretch>
                    <a:fillRect/>
                  </a:stretch>
                </pic:blipFill>
                <pic:spPr bwMode="auto">
                  <a:xfrm>
                    <a:off x="0" y="0"/>
                    <a:ext cx="3609975" cy="4267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3E05DCEE">
      <w:rPr/>
      <w:t>Year 8 Unit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90704"/>
    <w:multiLevelType w:val="hybridMultilevel"/>
    <w:tmpl w:val="8626FB6C"/>
    <w:lvl w:ilvl="0" w:tplc="08090001">
      <w:start w:val="1"/>
      <w:numFmt w:val="bullet"/>
      <w:lvlText w:val=""/>
      <w:lvlJc w:val="left"/>
      <w:pPr>
        <w:ind w:left="720" w:hanging="360"/>
      </w:pPr>
      <w:rPr>
        <w:rFonts w:hint="default" w:ascii="Symbol" w:hAnsi="Symbol" w:cs="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cs="Wingdings"/>
      </w:rPr>
    </w:lvl>
    <w:lvl w:ilvl="3" w:tplc="08090001" w:tentative="1">
      <w:start w:val="1"/>
      <w:numFmt w:val="bullet"/>
      <w:lvlText w:val=""/>
      <w:lvlJc w:val="left"/>
      <w:pPr>
        <w:ind w:left="2880" w:hanging="360"/>
      </w:pPr>
      <w:rPr>
        <w:rFonts w:hint="default" w:ascii="Symbol" w:hAnsi="Symbol" w:cs="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cs="Wingdings"/>
      </w:rPr>
    </w:lvl>
    <w:lvl w:ilvl="6" w:tplc="08090001" w:tentative="1">
      <w:start w:val="1"/>
      <w:numFmt w:val="bullet"/>
      <w:lvlText w:val=""/>
      <w:lvlJc w:val="left"/>
      <w:pPr>
        <w:ind w:left="5040" w:hanging="360"/>
      </w:pPr>
      <w:rPr>
        <w:rFonts w:hint="default" w:ascii="Symbol" w:hAnsi="Symbol" w:cs="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cs="Wingdings"/>
      </w:rPr>
    </w:lvl>
  </w:abstractNum>
  <w:abstractNum w:abstractNumId="1" w15:restartNumberingAfterBreak="0">
    <w:nsid w:val="048F08BC"/>
    <w:multiLevelType w:val="hybridMultilevel"/>
    <w:tmpl w:val="D864F5D6"/>
    <w:lvl w:ilvl="0" w:tplc="08090001">
      <w:start w:val="1"/>
      <w:numFmt w:val="bullet"/>
      <w:lvlText w:val=""/>
      <w:lvlJc w:val="left"/>
      <w:pPr>
        <w:ind w:left="720" w:hanging="360"/>
      </w:pPr>
      <w:rPr>
        <w:rFonts w:hint="default" w:ascii="Symbol" w:hAnsi="Symbol" w:cs="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cs="Wingdings"/>
      </w:rPr>
    </w:lvl>
    <w:lvl w:ilvl="3" w:tplc="08090001" w:tentative="1">
      <w:start w:val="1"/>
      <w:numFmt w:val="bullet"/>
      <w:lvlText w:val=""/>
      <w:lvlJc w:val="left"/>
      <w:pPr>
        <w:ind w:left="2880" w:hanging="360"/>
      </w:pPr>
      <w:rPr>
        <w:rFonts w:hint="default" w:ascii="Symbol" w:hAnsi="Symbol" w:cs="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cs="Wingdings"/>
      </w:rPr>
    </w:lvl>
    <w:lvl w:ilvl="6" w:tplc="08090001" w:tentative="1">
      <w:start w:val="1"/>
      <w:numFmt w:val="bullet"/>
      <w:lvlText w:val=""/>
      <w:lvlJc w:val="left"/>
      <w:pPr>
        <w:ind w:left="5040" w:hanging="360"/>
      </w:pPr>
      <w:rPr>
        <w:rFonts w:hint="default" w:ascii="Symbol" w:hAnsi="Symbol" w:cs="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cs="Wingdings"/>
      </w:rPr>
    </w:lvl>
  </w:abstractNum>
  <w:abstractNum w:abstractNumId="2" w15:restartNumberingAfterBreak="0">
    <w:nsid w:val="3416E48C"/>
    <w:multiLevelType w:val="hybridMultilevel"/>
    <w:tmpl w:val="EE1A2562"/>
    <w:lvl w:ilvl="0" w:tplc="664249EC">
      <w:start w:val="1"/>
      <w:numFmt w:val="bullet"/>
      <w:lvlText w:val="·"/>
      <w:lvlJc w:val="left"/>
      <w:pPr>
        <w:ind w:left="720" w:hanging="360"/>
      </w:pPr>
      <w:rPr>
        <w:rFonts w:hint="default" w:ascii="Symbol" w:hAnsi="Symbol"/>
      </w:rPr>
    </w:lvl>
    <w:lvl w:ilvl="1" w:tplc="5D7AA218">
      <w:start w:val="1"/>
      <w:numFmt w:val="bullet"/>
      <w:lvlText w:val="o"/>
      <w:lvlJc w:val="left"/>
      <w:pPr>
        <w:ind w:left="1440" w:hanging="360"/>
      </w:pPr>
      <w:rPr>
        <w:rFonts w:hint="default" w:ascii="Courier New" w:hAnsi="Courier New"/>
      </w:rPr>
    </w:lvl>
    <w:lvl w:ilvl="2" w:tplc="070CB13E">
      <w:start w:val="1"/>
      <w:numFmt w:val="bullet"/>
      <w:lvlText w:val=""/>
      <w:lvlJc w:val="left"/>
      <w:pPr>
        <w:ind w:left="2160" w:hanging="360"/>
      </w:pPr>
      <w:rPr>
        <w:rFonts w:hint="default" w:ascii="Wingdings" w:hAnsi="Wingdings"/>
      </w:rPr>
    </w:lvl>
    <w:lvl w:ilvl="3" w:tplc="46B60D28">
      <w:start w:val="1"/>
      <w:numFmt w:val="bullet"/>
      <w:lvlText w:val=""/>
      <w:lvlJc w:val="left"/>
      <w:pPr>
        <w:ind w:left="2880" w:hanging="360"/>
      </w:pPr>
      <w:rPr>
        <w:rFonts w:hint="default" w:ascii="Symbol" w:hAnsi="Symbol"/>
      </w:rPr>
    </w:lvl>
    <w:lvl w:ilvl="4" w:tplc="0A70D5A0">
      <w:start w:val="1"/>
      <w:numFmt w:val="bullet"/>
      <w:lvlText w:val="o"/>
      <w:lvlJc w:val="left"/>
      <w:pPr>
        <w:ind w:left="3600" w:hanging="360"/>
      </w:pPr>
      <w:rPr>
        <w:rFonts w:hint="default" w:ascii="Courier New" w:hAnsi="Courier New"/>
      </w:rPr>
    </w:lvl>
    <w:lvl w:ilvl="5" w:tplc="EBB41848">
      <w:start w:val="1"/>
      <w:numFmt w:val="bullet"/>
      <w:lvlText w:val=""/>
      <w:lvlJc w:val="left"/>
      <w:pPr>
        <w:ind w:left="4320" w:hanging="360"/>
      </w:pPr>
      <w:rPr>
        <w:rFonts w:hint="default" w:ascii="Wingdings" w:hAnsi="Wingdings"/>
      </w:rPr>
    </w:lvl>
    <w:lvl w:ilvl="6" w:tplc="05E0AAB6">
      <w:start w:val="1"/>
      <w:numFmt w:val="bullet"/>
      <w:lvlText w:val=""/>
      <w:lvlJc w:val="left"/>
      <w:pPr>
        <w:ind w:left="5040" w:hanging="360"/>
      </w:pPr>
      <w:rPr>
        <w:rFonts w:hint="default" w:ascii="Symbol" w:hAnsi="Symbol"/>
      </w:rPr>
    </w:lvl>
    <w:lvl w:ilvl="7" w:tplc="7316886A">
      <w:start w:val="1"/>
      <w:numFmt w:val="bullet"/>
      <w:lvlText w:val="o"/>
      <w:lvlJc w:val="left"/>
      <w:pPr>
        <w:ind w:left="5760" w:hanging="360"/>
      </w:pPr>
      <w:rPr>
        <w:rFonts w:hint="default" w:ascii="Courier New" w:hAnsi="Courier New"/>
      </w:rPr>
    </w:lvl>
    <w:lvl w:ilvl="8" w:tplc="F1387EB6">
      <w:start w:val="1"/>
      <w:numFmt w:val="bullet"/>
      <w:lvlText w:val=""/>
      <w:lvlJc w:val="left"/>
      <w:pPr>
        <w:ind w:left="6480" w:hanging="360"/>
      </w:pPr>
      <w:rPr>
        <w:rFonts w:hint="default" w:ascii="Wingdings" w:hAnsi="Wingdings"/>
      </w:rPr>
    </w:lvl>
  </w:abstractNum>
  <w:abstractNum w:abstractNumId="3" w15:restartNumberingAfterBreak="0">
    <w:nsid w:val="47A76CE0"/>
    <w:multiLevelType w:val="hybridMultilevel"/>
    <w:tmpl w:val="272C3152"/>
    <w:lvl w:ilvl="0" w:tplc="70A4D736">
      <w:start w:val="1"/>
      <w:numFmt w:val="bullet"/>
      <w:lvlText w:val="·"/>
      <w:lvlJc w:val="left"/>
      <w:pPr>
        <w:ind w:left="720" w:hanging="360"/>
      </w:pPr>
      <w:rPr>
        <w:rFonts w:hint="default" w:ascii="Symbol" w:hAnsi="Symbol"/>
      </w:rPr>
    </w:lvl>
    <w:lvl w:ilvl="1" w:tplc="E3C8FA68">
      <w:start w:val="1"/>
      <w:numFmt w:val="bullet"/>
      <w:lvlText w:val="o"/>
      <w:lvlJc w:val="left"/>
      <w:pPr>
        <w:ind w:left="1440" w:hanging="360"/>
      </w:pPr>
      <w:rPr>
        <w:rFonts w:hint="default" w:ascii="Courier New" w:hAnsi="Courier New"/>
      </w:rPr>
    </w:lvl>
    <w:lvl w:ilvl="2" w:tplc="2A52FED8">
      <w:start w:val="1"/>
      <w:numFmt w:val="bullet"/>
      <w:lvlText w:val=""/>
      <w:lvlJc w:val="left"/>
      <w:pPr>
        <w:ind w:left="2160" w:hanging="360"/>
      </w:pPr>
      <w:rPr>
        <w:rFonts w:hint="default" w:ascii="Wingdings" w:hAnsi="Wingdings"/>
      </w:rPr>
    </w:lvl>
    <w:lvl w:ilvl="3" w:tplc="60D41E68">
      <w:start w:val="1"/>
      <w:numFmt w:val="bullet"/>
      <w:lvlText w:val=""/>
      <w:lvlJc w:val="left"/>
      <w:pPr>
        <w:ind w:left="2880" w:hanging="360"/>
      </w:pPr>
      <w:rPr>
        <w:rFonts w:hint="default" w:ascii="Symbol" w:hAnsi="Symbol"/>
      </w:rPr>
    </w:lvl>
    <w:lvl w:ilvl="4" w:tplc="FE38720A">
      <w:start w:val="1"/>
      <w:numFmt w:val="bullet"/>
      <w:lvlText w:val="o"/>
      <w:lvlJc w:val="left"/>
      <w:pPr>
        <w:ind w:left="3600" w:hanging="360"/>
      </w:pPr>
      <w:rPr>
        <w:rFonts w:hint="default" w:ascii="Courier New" w:hAnsi="Courier New"/>
      </w:rPr>
    </w:lvl>
    <w:lvl w:ilvl="5" w:tplc="80940CFA">
      <w:start w:val="1"/>
      <w:numFmt w:val="bullet"/>
      <w:lvlText w:val=""/>
      <w:lvlJc w:val="left"/>
      <w:pPr>
        <w:ind w:left="4320" w:hanging="360"/>
      </w:pPr>
      <w:rPr>
        <w:rFonts w:hint="default" w:ascii="Wingdings" w:hAnsi="Wingdings"/>
      </w:rPr>
    </w:lvl>
    <w:lvl w:ilvl="6" w:tplc="2F4A8188">
      <w:start w:val="1"/>
      <w:numFmt w:val="bullet"/>
      <w:lvlText w:val=""/>
      <w:lvlJc w:val="left"/>
      <w:pPr>
        <w:ind w:left="5040" w:hanging="360"/>
      </w:pPr>
      <w:rPr>
        <w:rFonts w:hint="default" w:ascii="Symbol" w:hAnsi="Symbol"/>
      </w:rPr>
    </w:lvl>
    <w:lvl w:ilvl="7" w:tplc="E7344AA4">
      <w:start w:val="1"/>
      <w:numFmt w:val="bullet"/>
      <w:lvlText w:val="o"/>
      <w:lvlJc w:val="left"/>
      <w:pPr>
        <w:ind w:left="5760" w:hanging="360"/>
      </w:pPr>
      <w:rPr>
        <w:rFonts w:hint="default" w:ascii="Courier New" w:hAnsi="Courier New"/>
      </w:rPr>
    </w:lvl>
    <w:lvl w:ilvl="8" w:tplc="F072C8D0">
      <w:start w:val="1"/>
      <w:numFmt w:val="bullet"/>
      <w:lvlText w:val=""/>
      <w:lvlJc w:val="left"/>
      <w:pPr>
        <w:ind w:left="6480" w:hanging="360"/>
      </w:pPr>
      <w:rPr>
        <w:rFonts w:hint="default" w:ascii="Wingdings" w:hAnsi="Wingdings"/>
      </w:rPr>
    </w:lvl>
  </w:abstractNum>
  <w:abstractNum w:abstractNumId="4" w15:restartNumberingAfterBreak="0">
    <w:nsid w:val="4C804E74"/>
    <w:multiLevelType w:val="hybridMultilevel"/>
    <w:tmpl w:val="54583898"/>
    <w:lvl w:ilvl="0" w:tplc="8EF8665A">
      <w:start w:val="1"/>
      <w:numFmt w:val="bullet"/>
      <w:lvlText w:val="·"/>
      <w:lvlJc w:val="left"/>
      <w:pPr>
        <w:ind w:left="720" w:hanging="360"/>
      </w:pPr>
      <w:rPr>
        <w:rFonts w:hint="default" w:ascii="Symbol" w:hAnsi="Symbol"/>
      </w:rPr>
    </w:lvl>
    <w:lvl w:ilvl="1" w:tplc="1E6A4ACC">
      <w:start w:val="1"/>
      <w:numFmt w:val="bullet"/>
      <w:lvlText w:val="o"/>
      <w:lvlJc w:val="left"/>
      <w:pPr>
        <w:ind w:left="1440" w:hanging="360"/>
      </w:pPr>
      <w:rPr>
        <w:rFonts w:hint="default" w:ascii="&quot;Courier New&quot;" w:hAnsi="&quot;Courier New&quot;"/>
      </w:rPr>
    </w:lvl>
    <w:lvl w:ilvl="2" w:tplc="C10091EA">
      <w:start w:val="1"/>
      <w:numFmt w:val="bullet"/>
      <w:lvlText w:val=""/>
      <w:lvlJc w:val="left"/>
      <w:pPr>
        <w:ind w:left="2160" w:hanging="360"/>
      </w:pPr>
      <w:rPr>
        <w:rFonts w:hint="default" w:ascii="Wingdings" w:hAnsi="Wingdings"/>
      </w:rPr>
    </w:lvl>
    <w:lvl w:ilvl="3" w:tplc="51D011FC">
      <w:start w:val="1"/>
      <w:numFmt w:val="bullet"/>
      <w:lvlText w:val=""/>
      <w:lvlJc w:val="left"/>
      <w:pPr>
        <w:ind w:left="2880" w:hanging="360"/>
      </w:pPr>
      <w:rPr>
        <w:rFonts w:hint="default" w:ascii="Symbol" w:hAnsi="Symbol"/>
      </w:rPr>
    </w:lvl>
    <w:lvl w:ilvl="4" w:tplc="742C45E0">
      <w:start w:val="1"/>
      <w:numFmt w:val="bullet"/>
      <w:lvlText w:val="o"/>
      <w:lvlJc w:val="left"/>
      <w:pPr>
        <w:ind w:left="3600" w:hanging="360"/>
      </w:pPr>
      <w:rPr>
        <w:rFonts w:hint="default" w:ascii="Courier New" w:hAnsi="Courier New"/>
      </w:rPr>
    </w:lvl>
    <w:lvl w:ilvl="5" w:tplc="1F8CA12A">
      <w:start w:val="1"/>
      <w:numFmt w:val="bullet"/>
      <w:lvlText w:val=""/>
      <w:lvlJc w:val="left"/>
      <w:pPr>
        <w:ind w:left="4320" w:hanging="360"/>
      </w:pPr>
      <w:rPr>
        <w:rFonts w:hint="default" w:ascii="Wingdings" w:hAnsi="Wingdings"/>
      </w:rPr>
    </w:lvl>
    <w:lvl w:ilvl="6" w:tplc="5BB0CDA6">
      <w:start w:val="1"/>
      <w:numFmt w:val="bullet"/>
      <w:lvlText w:val=""/>
      <w:lvlJc w:val="left"/>
      <w:pPr>
        <w:ind w:left="5040" w:hanging="360"/>
      </w:pPr>
      <w:rPr>
        <w:rFonts w:hint="default" w:ascii="Symbol" w:hAnsi="Symbol"/>
      </w:rPr>
    </w:lvl>
    <w:lvl w:ilvl="7" w:tplc="128839A2">
      <w:start w:val="1"/>
      <w:numFmt w:val="bullet"/>
      <w:lvlText w:val="o"/>
      <w:lvlJc w:val="left"/>
      <w:pPr>
        <w:ind w:left="5760" w:hanging="360"/>
      </w:pPr>
      <w:rPr>
        <w:rFonts w:hint="default" w:ascii="Courier New" w:hAnsi="Courier New"/>
      </w:rPr>
    </w:lvl>
    <w:lvl w:ilvl="8" w:tplc="559A7C8A">
      <w:start w:val="1"/>
      <w:numFmt w:val="bullet"/>
      <w:lvlText w:val=""/>
      <w:lvlJc w:val="left"/>
      <w:pPr>
        <w:ind w:left="6480" w:hanging="360"/>
      </w:pPr>
      <w:rPr>
        <w:rFonts w:hint="default" w:ascii="Wingdings" w:hAnsi="Wingdings"/>
      </w:rPr>
    </w:lvl>
  </w:abstractNum>
  <w:abstractNum w:abstractNumId="5" w15:restartNumberingAfterBreak="0">
    <w:nsid w:val="5AA7C6CC"/>
    <w:multiLevelType w:val="hybridMultilevel"/>
    <w:tmpl w:val="54F6B374"/>
    <w:lvl w:ilvl="0" w:tplc="D6E8292E">
      <w:start w:val="1"/>
      <w:numFmt w:val="bullet"/>
      <w:lvlText w:val="·"/>
      <w:lvlJc w:val="left"/>
      <w:pPr>
        <w:ind w:left="720" w:hanging="360"/>
      </w:pPr>
      <w:rPr>
        <w:rFonts w:hint="default" w:ascii="Symbol" w:hAnsi="Symbol"/>
      </w:rPr>
    </w:lvl>
    <w:lvl w:ilvl="1" w:tplc="54DE5748">
      <w:start w:val="1"/>
      <w:numFmt w:val="bullet"/>
      <w:lvlText w:val="o"/>
      <w:lvlJc w:val="left"/>
      <w:pPr>
        <w:ind w:left="1440" w:hanging="360"/>
      </w:pPr>
      <w:rPr>
        <w:rFonts w:hint="default" w:ascii="Courier New" w:hAnsi="Courier New"/>
      </w:rPr>
    </w:lvl>
    <w:lvl w:ilvl="2" w:tplc="F81866F8">
      <w:start w:val="1"/>
      <w:numFmt w:val="bullet"/>
      <w:lvlText w:val=""/>
      <w:lvlJc w:val="left"/>
      <w:pPr>
        <w:ind w:left="2160" w:hanging="360"/>
      </w:pPr>
      <w:rPr>
        <w:rFonts w:hint="default" w:ascii="Wingdings" w:hAnsi="Wingdings"/>
      </w:rPr>
    </w:lvl>
    <w:lvl w:ilvl="3" w:tplc="B9324CF4">
      <w:start w:val="1"/>
      <w:numFmt w:val="bullet"/>
      <w:lvlText w:val=""/>
      <w:lvlJc w:val="left"/>
      <w:pPr>
        <w:ind w:left="2880" w:hanging="360"/>
      </w:pPr>
      <w:rPr>
        <w:rFonts w:hint="default" w:ascii="Symbol" w:hAnsi="Symbol"/>
      </w:rPr>
    </w:lvl>
    <w:lvl w:ilvl="4" w:tplc="A148D3FE">
      <w:start w:val="1"/>
      <w:numFmt w:val="bullet"/>
      <w:lvlText w:val="o"/>
      <w:lvlJc w:val="left"/>
      <w:pPr>
        <w:ind w:left="3600" w:hanging="360"/>
      </w:pPr>
      <w:rPr>
        <w:rFonts w:hint="default" w:ascii="Courier New" w:hAnsi="Courier New"/>
      </w:rPr>
    </w:lvl>
    <w:lvl w:ilvl="5" w:tplc="78EEB9A6">
      <w:start w:val="1"/>
      <w:numFmt w:val="bullet"/>
      <w:lvlText w:val=""/>
      <w:lvlJc w:val="left"/>
      <w:pPr>
        <w:ind w:left="4320" w:hanging="360"/>
      </w:pPr>
      <w:rPr>
        <w:rFonts w:hint="default" w:ascii="Wingdings" w:hAnsi="Wingdings"/>
      </w:rPr>
    </w:lvl>
    <w:lvl w:ilvl="6" w:tplc="A7063370">
      <w:start w:val="1"/>
      <w:numFmt w:val="bullet"/>
      <w:lvlText w:val=""/>
      <w:lvlJc w:val="left"/>
      <w:pPr>
        <w:ind w:left="5040" w:hanging="360"/>
      </w:pPr>
      <w:rPr>
        <w:rFonts w:hint="default" w:ascii="Symbol" w:hAnsi="Symbol"/>
      </w:rPr>
    </w:lvl>
    <w:lvl w:ilvl="7" w:tplc="BA2843BA">
      <w:start w:val="1"/>
      <w:numFmt w:val="bullet"/>
      <w:lvlText w:val="o"/>
      <w:lvlJc w:val="left"/>
      <w:pPr>
        <w:ind w:left="5760" w:hanging="360"/>
      </w:pPr>
      <w:rPr>
        <w:rFonts w:hint="default" w:ascii="Courier New" w:hAnsi="Courier New"/>
      </w:rPr>
    </w:lvl>
    <w:lvl w:ilvl="8" w:tplc="8F5C3178">
      <w:start w:val="1"/>
      <w:numFmt w:val="bullet"/>
      <w:lvlText w:val=""/>
      <w:lvlJc w:val="left"/>
      <w:pPr>
        <w:ind w:left="6480" w:hanging="360"/>
      </w:pPr>
      <w:rPr>
        <w:rFonts w:hint="default" w:ascii="Wingdings" w:hAnsi="Wingdings"/>
      </w:rPr>
    </w:lvl>
  </w:abstractNum>
  <w:abstractNum w:abstractNumId="6" w15:restartNumberingAfterBreak="0">
    <w:nsid w:val="6C95C1A8"/>
    <w:multiLevelType w:val="hybridMultilevel"/>
    <w:tmpl w:val="62E67FEA"/>
    <w:lvl w:ilvl="0" w:tplc="B906C9BE">
      <w:start w:val="1"/>
      <w:numFmt w:val="bullet"/>
      <w:lvlText w:val="·"/>
      <w:lvlJc w:val="left"/>
      <w:pPr>
        <w:ind w:left="720" w:hanging="360"/>
      </w:pPr>
      <w:rPr>
        <w:rFonts w:hint="default" w:ascii="Symbol" w:hAnsi="Symbol"/>
      </w:rPr>
    </w:lvl>
    <w:lvl w:ilvl="1" w:tplc="1D8E2C9C">
      <w:start w:val="1"/>
      <w:numFmt w:val="bullet"/>
      <w:lvlText w:val="o"/>
      <w:lvlJc w:val="left"/>
      <w:pPr>
        <w:ind w:left="1440" w:hanging="360"/>
      </w:pPr>
      <w:rPr>
        <w:rFonts w:hint="default" w:ascii="Courier New" w:hAnsi="Courier New"/>
      </w:rPr>
    </w:lvl>
    <w:lvl w:ilvl="2" w:tplc="DBE0ABCA">
      <w:start w:val="1"/>
      <w:numFmt w:val="bullet"/>
      <w:lvlText w:val=""/>
      <w:lvlJc w:val="left"/>
      <w:pPr>
        <w:ind w:left="2160" w:hanging="360"/>
      </w:pPr>
      <w:rPr>
        <w:rFonts w:hint="default" w:ascii="Wingdings" w:hAnsi="Wingdings"/>
      </w:rPr>
    </w:lvl>
    <w:lvl w:ilvl="3" w:tplc="D84689D0">
      <w:start w:val="1"/>
      <w:numFmt w:val="bullet"/>
      <w:lvlText w:val=""/>
      <w:lvlJc w:val="left"/>
      <w:pPr>
        <w:ind w:left="2880" w:hanging="360"/>
      </w:pPr>
      <w:rPr>
        <w:rFonts w:hint="default" w:ascii="Symbol" w:hAnsi="Symbol"/>
      </w:rPr>
    </w:lvl>
    <w:lvl w:ilvl="4" w:tplc="544EAF7E">
      <w:start w:val="1"/>
      <w:numFmt w:val="bullet"/>
      <w:lvlText w:val="o"/>
      <w:lvlJc w:val="left"/>
      <w:pPr>
        <w:ind w:left="3600" w:hanging="360"/>
      </w:pPr>
      <w:rPr>
        <w:rFonts w:hint="default" w:ascii="Courier New" w:hAnsi="Courier New"/>
      </w:rPr>
    </w:lvl>
    <w:lvl w:ilvl="5" w:tplc="0E34380A">
      <w:start w:val="1"/>
      <w:numFmt w:val="bullet"/>
      <w:lvlText w:val=""/>
      <w:lvlJc w:val="left"/>
      <w:pPr>
        <w:ind w:left="4320" w:hanging="360"/>
      </w:pPr>
      <w:rPr>
        <w:rFonts w:hint="default" w:ascii="Wingdings" w:hAnsi="Wingdings"/>
      </w:rPr>
    </w:lvl>
    <w:lvl w:ilvl="6" w:tplc="4C40BF5E">
      <w:start w:val="1"/>
      <w:numFmt w:val="bullet"/>
      <w:lvlText w:val=""/>
      <w:lvlJc w:val="left"/>
      <w:pPr>
        <w:ind w:left="5040" w:hanging="360"/>
      </w:pPr>
      <w:rPr>
        <w:rFonts w:hint="default" w:ascii="Symbol" w:hAnsi="Symbol"/>
      </w:rPr>
    </w:lvl>
    <w:lvl w:ilvl="7" w:tplc="102A9282">
      <w:start w:val="1"/>
      <w:numFmt w:val="bullet"/>
      <w:lvlText w:val="o"/>
      <w:lvlJc w:val="left"/>
      <w:pPr>
        <w:ind w:left="5760" w:hanging="360"/>
      </w:pPr>
      <w:rPr>
        <w:rFonts w:hint="default" w:ascii="Courier New" w:hAnsi="Courier New"/>
      </w:rPr>
    </w:lvl>
    <w:lvl w:ilvl="8" w:tplc="02525220">
      <w:start w:val="1"/>
      <w:numFmt w:val="bullet"/>
      <w:lvlText w:val=""/>
      <w:lvlJc w:val="left"/>
      <w:pPr>
        <w:ind w:left="6480" w:hanging="360"/>
      </w:pPr>
      <w:rPr>
        <w:rFonts w:hint="default" w:ascii="Wingdings" w:hAnsi="Wingdings"/>
      </w:rPr>
    </w:lvl>
  </w:abstractNum>
  <w:num w:numId="1">
    <w:abstractNumId w:val="4"/>
  </w:num>
  <w:num w:numId="2">
    <w:abstractNumId w:val="5"/>
  </w:num>
  <w:num w:numId="3">
    <w:abstractNumId w:val="3"/>
  </w:num>
  <w:num w:numId="4">
    <w:abstractNumId w:val="6"/>
  </w:num>
  <w:num w:numId="5">
    <w:abstractNumId w:val="2"/>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val="fal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9B4"/>
    <w:rsid w:val="00017B74"/>
    <w:rsid w:val="0007415F"/>
    <w:rsid w:val="00235BD4"/>
    <w:rsid w:val="002B0167"/>
    <w:rsid w:val="002E6AA8"/>
    <w:rsid w:val="003755B6"/>
    <w:rsid w:val="003E6B6F"/>
    <w:rsid w:val="00440E6C"/>
    <w:rsid w:val="00487E07"/>
    <w:rsid w:val="005F4E99"/>
    <w:rsid w:val="006A4FDE"/>
    <w:rsid w:val="007146EF"/>
    <w:rsid w:val="00811F13"/>
    <w:rsid w:val="0083335D"/>
    <w:rsid w:val="00847F4E"/>
    <w:rsid w:val="00867D25"/>
    <w:rsid w:val="008B1952"/>
    <w:rsid w:val="008E39B4"/>
    <w:rsid w:val="00A23F48"/>
    <w:rsid w:val="00A314F1"/>
    <w:rsid w:val="00BA646E"/>
    <w:rsid w:val="00CA59AB"/>
    <w:rsid w:val="00CE6A5E"/>
    <w:rsid w:val="00DB0006"/>
    <w:rsid w:val="00DC23A5"/>
    <w:rsid w:val="00E5371A"/>
    <w:rsid w:val="00F43D58"/>
    <w:rsid w:val="00F9765D"/>
    <w:rsid w:val="00FB7D5A"/>
    <w:rsid w:val="00FE1C68"/>
    <w:rsid w:val="1227E09A"/>
    <w:rsid w:val="182E0F05"/>
    <w:rsid w:val="209BDB0F"/>
    <w:rsid w:val="26B4AFAF"/>
    <w:rsid w:val="26B4AFAF"/>
    <w:rsid w:val="393A1B33"/>
    <w:rsid w:val="3E05DCEE"/>
    <w:rsid w:val="3E5ADDBF"/>
    <w:rsid w:val="41B103B3"/>
    <w:rsid w:val="43981BAA"/>
    <w:rsid w:val="45989F69"/>
    <w:rsid w:val="4D25D593"/>
    <w:rsid w:val="61675D12"/>
    <w:rsid w:val="647B89BC"/>
    <w:rsid w:val="66175A1D"/>
    <w:rsid w:val="772B8C95"/>
    <w:rsid w:val="7E5A78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3D1FD1"/>
  <w15:chartTrackingRefBased/>
  <w15:docId w15:val="{97C0AF6D-40D4-4A68-B85E-45E3A0E32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E39B4"/>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semiHidden/>
    <w:unhideWhenUsed/>
    <w:rsid w:val="008E39B4"/>
    <w:rPr>
      <w:color w:val="0000FF"/>
      <w:u w:val="single"/>
    </w:rPr>
  </w:style>
  <w:style w:type="paragraph" w:styleId="ListParagraph">
    <w:name w:val="List Paragraph"/>
    <w:basedOn w:val="Normal"/>
    <w:uiPriority w:val="34"/>
    <w:qFormat/>
    <w:rsid w:val="008E39B4"/>
    <w:pPr>
      <w:ind w:left="720"/>
      <w:contextualSpacing/>
    </w:pPr>
  </w:style>
  <w:style w:type="paragraph" w:styleId="Header">
    <w:name w:val="header"/>
    <w:basedOn w:val="Normal"/>
    <w:link w:val="HeaderChar"/>
    <w:uiPriority w:val="99"/>
    <w:unhideWhenUsed/>
    <w:rsid w:val="00017B74"/>
    <w:pPr>
      <w:tabs>
        <w:tab w:val="center" w:pos="4513"/>
        <w:tab w:val="right" w:pos="9026"/>
      </w:tabs>
      <w:spacing w:after="0" w:line="240" w:lineRule="auto"/>
    </w:pPr>
  </w:style>
  <w:style w:type="character" w:styleId="HeaderChar" w:customStyle="1">
    <w:name w:val="Header Char"/>
    <w:basedOn w:val="DefaultParagraphFont"/>
    <w:link w:val="Header"/>
    <w:uiPriority w:val="99"/>
    <w:rsid w:val="00017B74"/>
  </w:style>
  <w:style w:type="paragraph" w:styleId="Footer">
    <w:name w:val="footer"/>
    <w:basedOn w:val="Normal"/>
    <w:link w:val="FooterChar"/>
    <w:uiPriority w:val="99"/>
    <w:unhideWhenUsed/>
    <w:rsid w:val="00017B74"/>
    <w:pPr>
      <w:tabs>
        <w:tab w:val="center" w:pos="4513"/>
        <w:tab w:val="right" w:pos="9026"/>
      </w:tabs>
      <w:spacing w:after="0" w:line="240" w:lineRule="auto"/>
    </w:pPr>
  </w:style>
  <w:style w:type="character" w:styleId="FooterChar" w:customStyle="1">
    <w:name w:val="Footer Char"/>
    <w:basedOn w:val="DefaultParagraphFont"/>
    <w:link w:val="Footer"/>
    <w:uiPriority w:val="99"/>
    <w:rsid w:val="00017B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3575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corbettmaths.com/contents/" TargetMode="Externa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hyperlink" Target="https://www.drfrostmaths.com/course.php?sid=-10"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 Type="http://schemas.openxmlformats.org/officeDocument/2006/relationships/hyperlink" Target="https://www.mathsgenie.co.uk/advance-information.html" TargetMode="External" Id="Rda53d3210af74f3b"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2EBDE9119B3054FACA6A51F068AB9D4" ma:contentTypeVersion="12" ma:contentTypeDescription="Create a new document." ma:contentTypeScope="" ma:versionID="040f7b4071eacbcd28c961fa11b758de">
  <xsd:schema xmlns:xsd="http://www.w3.org/2001/XMLSchema" xmlns:xs="http://www.w3.org/2001/XMLSchema" xmlns:p="http://schemas.microsoft.com/office/2006/metadata/properties" xmlns:ns2="d89d75c5-59da-4330-a2f5-0034e38126d5" xmlns:ns3="354dc7f6-5177-429f-9880-9353dbeacdbf" targetNamespace="http://schemas.microsoft.com/office/2006/metadata/properties" ma:root="true" ma:fieldsID="a1d68c3861e60eaa60961c2a8485703f" ns2:_="" ns3:_="">
    <xsd:import namespace="d89d75c5-59da-4330-a2f5-0034e38126d5"/>
    <xsd:import namespace="354dc7f6-5177-429f-9880-9353dbeacdb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9d75c5-59da-4330-a2f5-0034e3812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4dc7f6-5177-429f-9880-9353dbeacdb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0A1B58-0C5F-48DD-B214-25554F7C58E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DBE7D87-04D2-41B9-9BD2-63465989AEDF}">
  <ds:schemaRefs>
    <ds:schemaRef ds:uri="http://schemas.microsoft.com/sharepoint/v3/contenttype/forms"/>
  </ds:schemaRefs>
</ds:datastoreItem>
</file>

<file path=customXml/itemProps3.xml><?xml version="1.0" encoding="utf-8"?>
<ds:datastoreItem xmlns:ds="http://schemas.openxmlformats.org/officeDocument/2006/customXml" ds:itemID="{184CF176-D5FE-47BC-B238-30FE1258B4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9d75c5-59da-4330-a2f5-0034e38126d5"/>
    <ds:schemaRef ds:uri="354dc7f6-5177-429f-9880-9353dbeacd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Highcliffe School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Hannah</dc:creator>
  <keywords/>
  <dc:description/>
  <lastModifiedBy>SCooper</lastModifiedBy>
  <revision>5</revision>
  <dcterms:created xsi:type="dcterms:W3CDTF">2022-06-06T10:35:00.0000000Z</dcterms:created>
  <dcterms:modified xsi:type="dcterms:W3CDTF">2022-06-29T12:17:36.1685955Z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0x010100E2EBDE9119B3054FACA6A51F068AB9D4</vt:lpwstr>
  </property>
</Properties>
</file>